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823 ZPO — Außer Kurs gesetzte Inhaberpapiere</w:t>
      </w:r>
    </w:p>
    <w:p>
      <w:r>
        <w:rPr>
          <w:color w:val="555555"/>
          <w:sz w:val="18"/>
        </w:rPr>
        <w:t xml:space="preserve">Zivilprozessordnung</w:t>
      </w:r>
    </w:p>
    <w:p>
      <w:r>
        <w:rPr>
          <w:color w:val="555555"/>
          <w:sz w:val="18"/>
        </w:rPr>
        <w:t xml:space="preserve">Stand: 10.06.2019 (konsolidierte Textfassung, kein amtliches Inkrafttretensdatum)</w:t>
      </w:r>
    </w:p>
    <w:p>
      <w:r>
        <w:t xml:space="preserve">Ist ein Inhaberpapier durch Einschreibung auf den Namen oder in anderer Weise außer Kurs gesetzt, so kann der Gerichtsvollzieher durch das Vollstreckungsgericht ermächtigt werden, die Wiederinkurssetzung zu erwirken und die hierzu erforderlichen Erklärungen an Stelle des Schuldners abzugeben.</w:t>
      </w:r>
    </w:p>
    <w:p>
      <w:r>
        <w:rPr>
          <w:color w:val="555555"/>
          <w:sz w:val="17"/>
        </w:rPr>
        <w:t xml:space="preserve">Zitiervorschlag: § 823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