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814 ZPO — Öffentliche Versteigerung</w:t>
      </w:r>
    </w:p>
    <w:p>
      <w:r>
        <w:rPr>
          <w:color w:val="555555"/>
          <w:sz w:val="18"/>
        </w:rPr>
        <w:t xml:space="preserve">Zivilprozessordnung</w:t>
      </w:r>
    </w:p>
    <w:p>
      <w:r>
        <w:rPr>
          <w:color w:val="555555"/>
          <w:sz w:val="18"/>
        </w:rPr>
        <w:t xml:space="preserve">Stand: 31.10.2019 (konsolidierte Textfassung, kein amtliches Inkrafttretensdatum)</w:t>
      </w:r>
    </w:p>
    <w:p>
      <w:r>
        <w:t xml:space="preserve">(1) Die gepfändeten Sachen sind von dem Gerichtsvollzieher öffentlich zu versteigern; Kostbarkeiten sind vor der Versteigerung durch einen Sachverständigen abzuschätzen.*)</w:t>
      </w:r>
    </w:p>
    <w:p>
      <w:r>
        <w:t xml:space="preserve">(2) Eine öffentliche Versteigerung kann nach Wahl des Gerichtsvollziehers</w:t>
      </w:r>
    </w:p>
    <w:p>
      <w:pPr>
        <w:ind w:left="420"/>
      </w:pPr>
      <w:r>
        <w:t xml:space="preserve">1. als Versteigerung vor Ort oder</w:t>
      </w:r>
    </w:p>
    <w:p>
      <w:pPr>
        <w:ind w:left="420"/>
      </w:pPr>
      <w:r>
        <w:t xml:space="preserve">2. als allgemein zugängliche Versteigerung im Internet über eine Versteigerungsplattform</w:t>
      </w:r>
    </w:p>
    <w:p>
      <w:r>
        <w:t xml:space="preserve">erfolgen.</w:t>
      </w:r>
    </w:p>
    <w:p>
      <w:r>
        <w:t xml:space="preserve">(3) Die Landesregierungen bestimmen für die Versteigerung im Internet nach Absatz 2 Nummer 2 durch Rechtsverordnung</w:t>
      </w:r>
    </w:p>
    <w:p>
      <w:pPr>
        <w:ind w:left="420"/>
      </w:pPr>
      <w:r>
        <w:t xml:space="preserve">1. den Zeitpunkt, von dem an die Versteigerung zugelassen ist,</w:t>
      </w:r>
    </w:p>
    <w:p>
      <w:pPr>
        <w:ind w:left="420"/>
      </w:pPr>
      <w:r>
        <w:t xml:space="preserve">2. die Versteigerungsplattform,</w:t>
      </w:r>
    </w:p>
    <w:p>
      <w:pPr>
        <w:ind w:left="420"/>
      </w:pPr>
      <w:r>
        <w:t xml:space="preserve">3. die Zulassung zur und den Ausschluss von der Teilnahme an der Versteigerung; soweit die Zulassung zur Teilnahme oder der Ausschluss von einer Versteigerung einen Identitätsnachweis natürlicher Personen vorsieht, ist spätestens ab dem 1. Januar 2013 auch die Nutzung des elektronischen Identitätsnachweises (§ 18 des Personalausweisgesetzes, § 12 des eID-Karte-Gesetzes oder § 78 Absatz 5 des Aufenthaltsgesetzes) zu diesem Zweck zu ermöglichen,</w:t>
      </w:r>
    </w:p>
    <w:p>
      <w:pPr>
        <w:ind w:left="420"/>
      </w:pPr>
      <w:r>
        <w:t xml:space="preserve">4. Beginn, Ende und Abbruch der Versteigerung,</w:t>
      </w:r>
    </w:p>
    <w:p>
      <w:pPr>
        <w:ind w:left="420"/>
      </w:pPr>
      <w:r>
        <w:t xml:space="preserve">5. die Versteigerungsbedingungen und die sonstigen rechtlichen Folgen der Versteigerung einschließlich der Belehrung der Teilnehmer über den Gewährleistungsausschluss nach § 806,</w:t>
      </w:r>
    </w:p>
    <w:p>
      <w:pPr>
        <w:ind w:left="420"/>
      </w:pPr>
      <w:r>
        <w:t xml:space="preserve">6. die Anonymisierung der Angaben zur Person des Schuldners vor ihrer Veröffentlichung und die Möglichkeit der Anonymisierung der Daten der Bieter,</w:t>
      </w:r>
    </w:p>
    <w:p>
      <w:pPr>
        <w:ind w:left="420"/>
      </w:pPr>
      <w:r>
        <w:t xml:space="preserve">7. das sonstige zu beachtende besondere Verfahren.</w:t>
      </w:r>
    </w:p>
    <w:p>
      <w:r>
        <w:t xml:space="preserve">Sie können die Ermächtigung durch Rechtsverordnung auf die Landesjustizverwaltungen übertragen.</w:t>
      </w:r>
    </w:p>
    <w:p>
      <w:r>
        <w:rPr>
          <w:color w:val="555555"/>
          <w:sz w:val="17"/>
        </w:rPr>
        <w:t xml:space="preserve">Zitiervorschlag: § 814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