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808 ZPO — Pfändung beim Schuldner</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Pfändung der im Gewahrsam des Schuldners befindlichen körperlichen Sachen wird dadurch bewirkt, dass der Gerichtsvollzieher sie in Besitz nimmt.</w:t>
      </w:r>
    </w:p>
    <w:p>
      <w:r>
        <w:t xml:space="preserve">(2) Andere Sachen als Geld, Kostbarkeiten und Wertpapiere sind im Gewahrsam des Schuldners zu belassen, sofern nicht hierdurch die Befriedigung des Gläubigers gefährdet wird. Werden die Sachen im Gewahrsam des Schuldners belassen, so ist die Wirksamkeit der Pfändung dadurch bedingt, dass durch Anlegung von Siegeln oder auf sonstige Weise die Pfändung ersichtlich gemacht ist.</w:t>
      </w:r>
    </w:p>
    <w:p>
      <w:r>
        <w:t xml:space="preserve">(3) Der Gerichtsvollzieher hat den Schuldner von der erfolgten Pfändung in Kenntnis zu setzen.</w:t>
      </w:r>
    </w:p>
    <w:p>
      <w:r>
        <w:rPr>
          <w:color w:val="555555"/>
          <w:sz w:val="17"/>
        </w:rPr>
        <w:t xml:space="preserve">Zitiervorschlag: § 808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