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805 ZPO — Klage auf vorzugsweise Befriedigung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Pfändung einer Sache kann ein Dritter, der sich nicht im Besitz der Sache befindet, auf Grund eines Pfand- oder Vorzugsrechts nicht widersprechen; er kann jedoch seinen Anspruch auf vorzugsweise Befriedigung aus dem Erlös im Wege der Klage geltend machen, ohne Rücksicht darauf, ob seine Forderung fällig ist oder nicht.</w:t>
      </w:r>
    </w:p>
    <w:p>
      <w:r>
        <w:t xml:space="preserve">(2) Die Klage ist bei dem Vollstreckungsgericht und, wenn der Streitgegenstand zur Zuständigkeit der Amtsgerichte nicht gehört, bei dem Landgericht zu erheben, in dessen Bezirk das Vollstreckungsgericht seinen Sitz hat.</w:t>
      </w:r>
    </w:p>
    <w:p>
      <w:r>
        <w:t xml:space="preserve">(3) Wird die Klage gegen den Gläubiger und den Schuldner gerichtet, so sind diese als Streitgenossen anzusehen.</w:t>
      </w:r>
    </w:p>
    <w:p>
      <w:r>
        <w:t xml:space="preserve">(4) Wird der Anspruch glaubhaft gemacht, so hat das Gericht die Hinterlegung des Erlöses anzuordnen. Die Vorschriften der §§ 769, 770 sind hierbei entsprechend anzuwenden.</w:t>
      </w:r>
    </w:p>
    <w:p>
      <w:r>
        <w:rPr>
          <w:color w:val="555555"/>
          <w:sz w:val="17"/>
        </w:rPr>
        <w:t xml:space="preserve">Zitiervorschlag: § 805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