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804 ZPO — Pfändungspfandrecht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Pfändung erwirbt der Gläubiger ein Pfandrecht an dem gepfändeten Gegenstande.</w:t>
      </w:r>
    </w:p>
    <w:p>
      <w:r>
        <w:t xml:space="preserve">(2) Das Pfandrecht gewährt dem Gläubiger im Verhältnis zu anderen Gläubigern dieselben Rechte wie ein durch Vertrag erworbenes Faustpfandrecht; es geht Pfand- und Vorzugsrechten vor, die für den Fall eines Insolvenzverfahrens den Faustpfandrechten nicht gleichgestellt sind.</w:t>
      </w:r>
    </w:p>
    <w:p>
      <w:r>
        <w:t xml:space="preserve">(3) Das durch eine frühere Pfändung begründete Pfandrecht geht demjenigen vor, das durch eine spätere Pfändung begründet wird.</w:t>
      </w:r>
    </w:p>
    <w:p>
      <w:r>
        <w:rPr>
          <w:color w:val="555555"/>
          <w:sz w:val="17"/>
        </w:rPr>
        <w:t xml:space="preserve">Zitiervorschlag: § 804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