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803 ZPO — Pfändung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Zwangsvollstreckung in das bewegliche Vermögen erfolgt durch Pfändung. Sie darf nicht weiter ausgedehnt werden, als es zur Befriedigung des Gläubigers und zur Deckung der Kosten der Zwangsvollstreckung erforderlich ist.</w:t>
      </w:r>
    </w:p>
    <w:p>
      <w:r>
        <w:t xml:space="preserve">(2) Die Pfändung hat zu unterbleiben, wenn sich von der Verwertung der zu pfändenden Gegenstände ein Überschuss über die Kosten der Zwangsvollstreckung nicht erwarten lässt.</w:t>
      </w:r>
    </w:p>
    <w:p>
      <w:r>
        <w:rPr>
          <w:color w:val="555555"/>
          <w:sz w:val="17"/>
        </w:rPr>
        <w:t xml:space="preserve">Zitiervorschlag: § 803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