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800a ZPO — Vollstreckbare Urkunde bei Schiffshypothek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799, 800 gelten für eingetragene Schiffe und Schiffsbauwerke, die mit einer Schiffshypothek belastet sind, entsprechend.</w:t>
      </w:r>
    </w:p>
    <w:p>
      <w:r>
        <w:t xml:space="preserve">(2) Ist die sofortige Zwangsvollstreckung gegen den jeweiligen Eigentümer zulässig, so ist für die im § 797 Abs. 5 bezeichneten Klagen das Gericht zuständig, in dessen Bezirk das Register für das Schiff oder das Schiffsbauwerk geführt wird.</w:t>
      </w:r>
    </w:p>
    <w:p>
      <w:r>
        <w:rPr>
          <w:color w:val="555555"/>
          <w:sz w:val="17"/>
        </w:rPr>
        <w:t xml:space="preserve">Zitiervorschlag: § 800a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