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ZPO — Pacht- oder Mietverhältnis</w:t>
      </w:r>
    </w:p>
    <w:p>
      <w:r>
        <w:rPr>
          <w:color w:val="555555"/>
          <w:sz w:val="18"/>
        </w:rPr>
        <w:t xml:space="preserve">Zivilprozessordnung</w:t>
      </w:r>
    </w:p>
    <w:p>
      <w:r>
        <w:rPr>
          <w:color w:val="555555"/>
          <w:sz w:val="18"/>
        </w:rPr>
        <w:t xml:space="preserve">Stand: 10.06.2019 (konsolidierte Textfassung, kein amtliches Inkrafttretensdatum)</w:t>
      </w:r>
    </w:p>
    <w:p>
      <w:r>
        <w:t xml:space="preserve">Ist das Bestehen oder die Dauer eines Pacht- oder Mietverhältnisses streitig, so ist der Betrag der auf die gesamte streitige Zeit entfallenden Pacht oder Miete und, wenn der 25fache Betrag des einjährigen Entgelts geringer ist, dieser Betrag für die Wertberechnung entscheidend.</w:t>
      </w:r>
    </w:p>
    <w:p>
      <w:r>
        <w:rPr>
          <w:color w:val="555555"/>
          <w:sz w:val="17"/>
        </w:rPr>
        <w:t xml:space="preserve">Zitiervorschlag: § 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