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786 ZPO — Vollstreckungsabwehrklage bei beschränkter Haftung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780 Abs. 1 und der §§ 781 bis 785 sind auf die nach § 1489 des Bürgerlichen Gesetzbuchs eintretende beschränkte Haftung, die Vorschriften des § 780 Abs. 1 und der §§ 781, 785 sind auf die nach den §§ 1480, 1504, 1629a, 2187 des Bürgerlichen Gesetzbuchs eintretende beschränkte Haftung entsprechend anzuwenden.</w:t>
      </w:r>
    </w:p>
    <w:p>
      <w:r>
        <w:t xml:space="preserve">(2) Bei der Zwangsvollstreckung aus Urteilen, die bis zum Inkrafttreten des Minderjährigenhaftungsbeschränkungsgesetzes vom 25. August 1998 (BGBl. I S. 2487) am 1. Juli 1999 ergangen sind, kann die Haftungsbeschränkung nach § 1629a des Bürgerlichen Gesetzbuchs auch dann geltend gemacht werden, wenn sie nicht gemäß § 780 Abs. 1 dieses Gesetzes im Urteil vorbehalten ist.</w:t>
      </w:r>
    </w:p>
    <w:p>
      <w:r>
        <w:rPr>
          <w:color w:val="555555"/>
          <w:sz w:val="17"/>
        </w:rPr>
        <w:t xml:space="preserve">Zitiervorschlag: § 786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