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784 ZPO — Zwangsvollstreckung bei Nachlassverwaltung und -insolvenzverfahren</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eine Nachlassverwaltung angeordnet oder das Nachlassinsolvenzverfahren eröffnet, so kann der Erbe verlangen, dass Maßregeln der Zwangsvollstreckung, die zugunsten eines Nachlassgläubigers in sein nicht zum Nachlass gehörendes Vermögen erfolgt sind, aufgehoben werden, es sei denn, dass er für die Nachlassverbindlichkeiten unbeschränkt haftet.</w:t>
      </w:r>
    </w:p>
    <w:p>
      <w:r>
        <w:t xml:space="preserve">(2) Im Falle der Nachlassverwaltung steht dem Nachlassverwalter das gleiche Recht gegenüber Maßregeln der Zwangsvollstreckung zu, die zugunsten eines anderen Gläubigers als eines Nachlassgläubigers in den Nachlass erfolgt sind.</w:t>
      </w:r>
    </w:p>
    <w:p>
      <w:r>
        <w:rPr>
          <w:color w:val="555555"/>
          <w:sz w:val="17"/>
        </w:rPr>
        <w:t xml:space="preserve">Zitiervorschlag: § 784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