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775 ZPO — Einstellung oder Beschränkung der Zwangsvollstreckung</w:t>
      </w:r>
    </w:p>
    <w:p>
      <w:r>
        <w:rPr>
          <w:color w:val="555555"/>
          <w:sz w:val="18"/>
        </w:rPr>
        <w:t xml:space="preserve">Zivilprozessordnung</w:t>
      </w:r>
    </w:p>
    <w:p>
      <w:r>
        <w:rPr>
          <w:color w:val="555555"/>
          <w:sz w:val="18"/>
        </w:rPr>
        <w:t xml:space="preserve">Stand: 10.06.2019 (konsolidierte Textfassung, kein amtliches Inkrafttretensdatum)</w:t>
      </w:r>
    </w:p>
    <w:p>
      <w:r>
        <w:t xml:space="preserve">Die Zwangsvollstreckung ist einzustellen oder zu beschränken:</w:t>
      </w:r>
    </w:p>
    <w:p>
      <w:pPr>
        <w:ind w:left="420"/>
      </w:pPr>
      <w:r>
        <w:t xml:space="preserve">1. wenn die Ausfertigung einer vollstreckbaren Entscheidung vorgelegt wird, aus der sich ergibt, dass das zu vollstreckende Urteil oder seine vorläufige Vollstreckbarkeit aufgehoben oder dass die Zwangsvollstreckung für unzulässig erklärt oder ihre Einstellung angeordnet ist;</w:t>
      </w:r>
    </w:p>
    <w:p>
      <w:pPr>
        <w:ind w:left="420"/>
      </w:pPr>
      <w:r>
        <w:t xml:space="preserve">2. wenn die Ausfertigung einer gerichtlichen Entscheidung vorgelegt wird, aus der sich ergibt, dass die einstweilige Einstellung der Vollstreckung oder einer Vollstreckungsmaßregel angeordnet ist oder dass die Vollstreckung nur gegen Sicherheitsleistung fortgesetzt werden darf;</w:t>
      </w:r>
    </w:p>
    <w:p>
      <w:pPr>
        <w:ind w:left="420"/>
      </w:pPr>
      <w:r>
        <w:t xml:space="preserve">3. wenn eine öffentliche Urkunde vorgelegt wird, aus der sich ergibt, dass die zur Abwendung der Vollstreckung erforderliche Sicherheitsleistung oder Hinterlegung erfolgt ist;</w:t>
      </w:r>
    </w:p>
    <w:p>
      <w:pPr>
        <w:ind w:left="420"/>
      </w:pPr>
      <w:r>
        <w:t xml:space="preserve">4. wenn eine öffentliche Urkunde oder eine von dem Gläubiger ausgestellte Privaturkunde vorgelegt wird, aus der sich ergibt, dass der Gläubiger nach Erlass des zu vollstreckenden Urteils befriedigt ist oder Stundung bewilligt hat;</w:t>
      </w:r>
    </w:p>
    <w:p>
      <w:pPr>
        <w:ind w:left="420"/>
      </w:pPr>
      <w:r>
        <w:t xml:space="preserve">5. wenn der Einzahlungs- oder Überweisungsnachweis einer Bank oder Sparkasse vorgelegt wird, aus dem sich ergibt, dass der zur Befriedigung des Gläubigers erforderliche Betrag zur Auszahlung an den Gläubiger oder auf dessen Konto eingezahlt oder überwiesen worden ist.</w:t>
      </w:r>
    </w:p>
    <w:p>
      <w:r>
        <w:rPr>
          <w:color w:val="555555"/>
          <w:sz w:val="17"/>
        </w:rPr>
        <w:t xml:space="preserve">Zitiervorschlag: § 775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