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771 ZPO — Drittwiderspruchsklage</w:t>
      </w:r>
    </w:p>
    <w:p>
      <w:r>
        <w:rPr>
          <w:color w:val="555555"/>
          <w:sz w:val="18"/>
        </w:rPr>
        <w:t xml:space="preserve">Zivilprozessordnung</w:t>
      </w:r>
    </w:p>
    <w:p>
      <w:r>
        <w:rPr>
          <w:color w:val="555555"/>
          <w:sz w:val="18"/>
        </w:rPr>
        <w:t xml:space="preserve">Stand: 10.06.2019 (konsolidierte Textfassung, kein amtliches Inkrafttretensdatum)</w:t>
      </w:r>
    </w:p>
    <w:p>
      <w:r>
        <w:t xml:space="preserve">(1) Behauptet ein Dritter, dass ihm an dem Gegenstand der Zwangsvollstreckung ein die Veräußerung hinderndes Recht zustehe, so ist der Widerspruch gegen die Zwangsvollstreckung im Wege der Klage bei dem Gericht geltend zu machen, in dessen Bezirk die Zwangsvollstreckung erfolgt.</w:t>
      </w:r>
    </w:p>
    <w:p>
      <w:r>
        <w:t xml:space="preserve">(2) Wird die Klage gegen den Gläubiger und den Schuldner gerichtet, so sind diese als Streitgenossen anzusehen.</w:t>
      </w:r>
    </w:p>
    <w:p>
      <w:r>
        <w:t xml:space="preserve">(3) Auf die Einstellung der Zwangsvollstreckung und die Aufhebung der bereits getroffenen Vollstreckungsmaßregeln sind die Vorschriften der §§ 769, 770 entsprechend anzuwenden. Die Aufhebung einer Vollstreckungsmaßregel ist auch ohne Sicherheitsleistung zulässig.</w:t>
      </w:r>
    </w:p>
    <w:p>
      <w:r>
        <w:rPr>
          <w:color w:val="555555"/>
          <w:sz w:val="17"/>
        </w:rPr>
        <w:t xml:space="preserve">Zitiervorschlag: § 771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