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753a ZPO — Vollmachtsnachweis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10.02.2021 (konsolidierte Textfassung, kein amtliches Inkrafttretensdatum)</w:t>
      </w:r>
    </w:p>
    <w:p>
      <w:r>
        <w:t xml:space="preserve">Bei der Durchführung der Zwangsvollstreckung wegen Geldforderungen in das bewegliche Vermögen haben Bevollmächtigte nach § 79 Absatz 2 Satz 1 und 2 Nummer 3 und 4 ihre ordnungsgemäße Bevollmächtigung zu versichern; des Nachweises einer Vollmacht bedarf es in diesen Fällen nicht. Satz 1 gilt nicht für Anträge nach § 802g.</w:t>
      </w:r>
    </w:p>
    <w:p>
      <w:r>
        <w:rPr>
          <w:color w:val="555555"/>
          <w:sz w:val="17"/>
        </w:rPr>
        <w:t xml:space="preserve">Zitiervorschlag: § 753a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https://recht.nulegal.eu/gesetze/ZPO/753a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