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751 ZPO — Bedingungen für Vollstreckungsbeginn</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die Geltendmachung des Anspruchs von dem Eintritt eines Kalendertages abhängig, so darf die Zwangsvollstreckung nur beginnen, wenn der Kalendertag abgelaufen ist.</w:t>
      </w:r>
    </w:p>
    <w:p>
      <w:r>
        <w:t xml:space="preserve">(2) Hängt die Vollstreckung von einer dem Gläubiger obliegenden Sicherheitsleistung ab, so darf mit der Zwangsvollstreckung nur begonnen oder sie nur fortgesetzt werden, wenn die Sicherheitsleistung durch eine öffentliche oder öffentlich beglaubigte Urkunde nachgewiesen und eine Abschrift dieser Urkunde bereits zugestellt ist oder gleichzeitig zugestellt wird.</w:t>
      </w:r>
    </w:p>
    <w:p>
      <w:r>
        <w:rPr>
          <w:color w:val="555555"/>
          <w:sz w:val="17"/>
        </w:rPr>
        <w:t xml:space="preserve">Zitiervorschlag: § 751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