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743 ZPO — Beendete Gütergemeinschaft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Beendigung der Gütergemeinschaft ist vor der Auseinandersetzung die Zwangsvollstreckung in das Gesamtgut nur zulässig, wenn</w:t>
      </w:r>
    </w:p>
    <w:p>
      <w:pPr>
        <w:ind w:left="420"/>
      </w:pPr>
      <w:r>
        <w:t xml:space="preserve">1. beide Ehegatten oder Lebenspartner zu der Leistung verurteilt sind oder</w:t>
      </w:r>
    </w:p>
    <w:p>
      <w:pPr>
        <w:ind w:left="420"/>
      </w:pPr>
      <w:r>
        <w:t xml:space="preserve">2. der eine Ehegatte oder Lebenspartner zu der Leistung verurteilt ist und der andere zur Duldung der Zwangsvollstreckung.</w:t>
      </w:r>
    </w:p>
    <w:p>
      <w:r>
        <w:rPr>
          <w:color w:val="555555"/>
          <w:sz w:val="17"/>
        </w:rPr>
        <w:t xml:space="preserve">Zitiervorschlag: § 743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