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ZPO — Wirkung der Streitverkündung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der Dritte dem Streitverkünder beitritt, so bestimmt sich sein Verhältnis zu den Parteien nach den Grundsätzen über die Nebenintervention.</w:t>
      </w:r>
    </w:p>
    <w:p>
      <w:r>
        <w:t xml:space="preserve">(2) Lehnt der Dritte den Beitritt ab oder erklärt er sich nicht, so wird der Rechtsstreit ohne Rücksicht auf ihn fortgesetzt.</w:t>
      </w:r>
    </w:p>
    <w:p>
      <w:r>
        <w:t xml:space="preserve">(3) In allen Fällen dieses Paragraphen sind gegen den Dritten die Vorschriften des § 68 mit der Abweichung anzuwenden, dass statt der Zeit des Beitritts die Zeit entscheidet, zu welcher der Beitritt infolge der Streitverkündung möglich war.</w:t>
      </w:r>
    </w:p>
    <w:p>
      <w:r>
        <w:rPr>
          <w:color w:val="555555"/>
          <w:sz w:val="17"/>
        </w:rPr>
        <w:t xml:space="preserve">Zitiervorschlag: § 74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