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739 ZPO — Gewahrsamsvermutung bei Zwangsvollstreckung gegen Ehegatten und Lebenspartner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zugunsten der Gläubiger eines der Ehegatten gemäß § 1362 des Bürgerlichen Gesetzbuchs vermutet, dass der Schuldner Eigentümer beweglicher Sachen ist, so gilt, unbeschadet der Rechte Dritter, für die Durchführung der Zwangsvollstreckung nur der Schuldner als Gewahrsamsinhaber und Besitzer.</w:t>
      </w:r>
    </w:p>
    <w:p>
      <w:r>
        <w:t xml:space="preserve">(2) Absatz 1 gilt entsprechend für die Vermutung des § 8 Abs. 1 des Lebenspartnerschaftsgesetzes zugunsten der Gläubiger eines der Lebenspartner.</w:t>
      </w:r>
    </w:p>
    <w:p>
      <w:r>
        <w:rPr>
          <w:color w:val="555555"/>
          <w:sz w:val="17"/>
        </w:rPr>
        <w:t xml:space="preserve">Zitiervorschlag: § 739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