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737 ZPO — Zwangsvollstreckung bei Vermögens- oder Erbschaftsnießbrauch</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dem Nießbrauch an einem Vermögen ist wegen der vor der Bestellung des Nießbrauchs entstandenen Verbindlichkeiten des Bestellers die Zwangsvollstreckung in die dem Nießbrauch unterliegenden Gegenstände ohne Rücksicht auf den Nießbrauch zulässig, wenn der Besteller zu der Leistung und der Nießbraucher zur Duldung der Zwangsvollstreckung verurteilt ist.</w:t>
      </w:r>
    </w:p>
    <w:p>
      <w:r>
        <w:t xml:space="preserve">(2) Das Gleiche gilt bei dem Nießbrauch an einer Erbschaft für die Nachlassverbindlichkeiten.</w:t>
      </w:r>
    </w:p>
    <w:p>
      <w:r>
        <w:rPr>
          <w:color w:val="555555"/>
          <w:sz w:val="17"/>
        </w:rPr>
        <w:t xml:space="preserve">Zitiervorschlag: § 737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