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736 ZPO — Zwangsvollstreckung für oder gegen eine Gesellschaft bürgerlichen Rechts bei nachträglicher Eintragung im Gesellschaftsregister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Zwangsvollstreckung für oder gegen eine im Gesellschaftsregister eingetragene Gesellschaft bürgerlichen Rechts findet auch aus einem Vollstreckungstitel für oder gegen eine nicht im Gesellschaftsregister eingetragene Gesellschaft bürgerlichen Rechts statt, wenn</w:t>
      </w:r>
    </w:p>
    <w:p>
      <w:pPr>
        <w:ind w:left="420"/>
      </w:pPr>
      <w:r>
        <w:t xml:space="preserve">1. der in dem Vollstreckungstitel genannte Name und Sitz oder die Anschrift der Gesellschaft identisch sind mit dem Namen und Sitz oder der Anschrift der im Gesellschaftsregister eingetragenen Gesellschaft und</w:t>
      </w:r>
    </w:p>
    <w:p>
      <w:pPr>
        <w:ind w:left="420"/>
      </w:pPr>
      <w:r>
        <w:t xml:space="preserve">2. die gegebenenfalls in dem Vollstreckungstitel aufgeführten Gesellschafter der Gesellschaft identisch sind mit den Gesellschaftern der im Gesellschaftsregister eingetragenen Gesellschaft.</w:t>
      </w:r>
    </w:p>
    <w:p>
      <w:r>
        <w:rPr>
          <w:color w:val="555555"/>
          <w:sz w:val="17"/>
        </w:rPr>
        <w:t xml:space="preserve">Zitiervorschlag: § 736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https://recht.nulegal.eu/gesetze/ZPO/736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