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732 ZPO — Erinnerung gegen Erteilung der Vollstreckungsklausel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Einwendungen des Schuldners, welche die Zulässigkeit der Vollstreckungsklausel betreffen, entscheidet das Gericht, von dessen Geschäftsstelle die Vollstreckungsklausel erteilt ist. Die Entscheidung ergeht durch Beschluss.</w:t>
      </w:r>
    </w:p>
    <w:p>
      <w:r>
        <w:t xml:space="preserve">(2) Das Gericht kann vor der Entscheidung eine einstweilige Anordnung erlassen; es kann insbesondere anordnen, dass die Zwangsvollstreckung gegen oder ohne Sicherheitsleistung einstweilen einzustellen oder nur gegen Sicherheitsleistung fortzusetzen sei.</w:t>
      </w:r>
    </w:p>
    <w:p>
      <w:r>
        <w:rPr>
          <w:color w:val="555555"/>
          <w:sz w:val="17"/>
        </w:rPr>
        <w:t xml:space="preserve">Zitiervorschlag: § 732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https://recht.nulegal.eu/gesetze/ZPO/732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