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726 ZPO — Vollstreckbare Ausfertigung bei bedingten Leistungen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Von Urteilen, deren Vollstreckung nach ihrem Inhalt von dem durch den Gläubiger zu beweisenden Eintritt einer anderen Tatsache als einer dem Gläubiger obliegenden Sicherheitsleistung abhängt, darf eine vollstreckbare Ausfertigung nur erteilt werden, wenn der Beweis durch öffentliche oder öffentlich beglaubigte Urkunden geführt wird.</w:t>
      </w:r>
    </w:p>
    <w:p>
      <w:r>
        <w:t xml:space="preserve">(2) Hängt die Vollstreckung von einer Zug um Zug zu bewirkenden Leistung des Gläubigers an den Schuldner ab, so ist der Beweis, dass der Schuldner befriedigt oder im Verzug der Annahme ist, nur dann erforderlich, wenn die dem Schuldner obliegende Leistung in der Abgabe einer Willenserklärung besteht.</w:t>
      </w:r>
    </w:p>
    <w:p>
      <w:r>
        <w:rPr>
          <w:color w:val="555555"/>
          <w:sz w:val="17"/>
        </w:rPr>
        <w:t xml:space="preserve">Zitiervorschlag: § 726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