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ZPO — Zwischenstreit über Nebenintervention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auf Zurückweisung einer Nebenintervention wird nach mündlicher Verhandlung unter den Parteien und dem Nebenintervenienten entschieden. Der Nebenintervenient ist zuzulassen, wenn er sein Interesse glaubhaft macht.</w:t>
      </w:r>
    </w:p>
    <w:p>
      <w:r>
        <w:t xml:space="preserve">(2) Gegen das Zwischenurteil findet sofortige Beschwerde statt.</w:t>
      </w:r>
    </w:p>
    <w:p>
      <w:r>
        <w:t xml:space="preserve">(3) Solange nicht die Unzulässigkeit der Intervention rechtskräftig ausgesprochen ist, wird der Intervenient im Hauptverfahren zugezogen.</w:t>
      </w:r>
    </w:p>
    <w:p>
      <w:r>
        <w:rPr>
          <w:color w:val="555555"/>
          <w:sz w:val="17"/>
        </w:rPr>
        <w:t xml:space="preserve">Zitiervorschlag: § 71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