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703d ZPO — Antragsgegner ohne allgemeinen inländischen Gerichtsstand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Antragsgegner keinen allgemeinen Gerichtsstand im Inland, so gelten die nachfolgenden besonderen Vorschriften.</w:t>
      </w:r>
    </w:p>
    <w:p>
      <w:r>
        <w:t xml:space="preserve">(2) Zuständig für das Mahnverfahren ist das Amtsgericht, das für das streitige Verfahren zuständig sein würde, wenn die Amtsgerichte im ersten Rechtszug sachlich unbeschränkt zuständig wären. § 689 Abs. 3 gilt entsprechend.</w:t>
      </w:r>
    </w:p>
    <w:p>
      <w:r>
        <w:rPr>
          <w:color w:val="555555"/>
          <w:sz w:val="17"/>
        </w:rPr>
        <w:t xml:space="preserve">Zitiervorschlag: § 703d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https://recht.nulegal.eu/gesetze/ZPO/703d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