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703c ZPO — Formulare; Einführung der maschinellen Bearbeitung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der Justiz und für Verbraucherschutz wird ermächtigt, durch Rechtsverordnung mit Zustimmung des Bundesrates zur Vereinfachung des Mahnverfahrens und zum Schutze der in Anspruch genommenen Partei Formulare einzuführen. Für</w:t>
      </w:r>
    </w:p>
    <w:p>
      <w:pPr>
        <w:ind w:left="420"/>
      </w:pPr>
      <w:r>
        <w:t xml:space="preserve">1. Mahnverfahren bei Gerichten, die die Verfahren maschinell bearbeiten,</w:t>
      </w:r>
    </w:p>
    <w:p>
      <w:pPr>
        <w:ind w:left="420"/>
      </w:pPr>
      <w:r>
        <w:t xml:space="preserve">2. Mahnverfahren bei Gerichten, die die Verfahren nicht maschinell bearbeiten,</w:t>
      </w:r>
    </w:p>
    <w:p>
      <w:pPr>
        <w:ind w:left="420"/>
      </w:pPr>
      <w:r>
        <w:t xml:space="preserve">3. Mahnverfahren, in denen der Mahnbescheid im Ausland zuzustellen ist,</w:t>
      </w:r>
    </w:p>
    <w:p>
      <w:pPr>
        <w:ind w:left="420"/>
      </w:pPr>
      <w:r>
        <w:t xml:space="preserve">4. Mahnverfahren, in denen der Mahnbescheid nach Artikel 32 des Zusatzabkommens zum NATO-Truppenstatut vom 3. August 1959 (BGBl. 1961 II S. 1183, 1218) zuzustellen ist,</w:t>
      </w:r>
    </w:p>
    <w:p>
      <w:r>
        <w:t xml:space="preserve">können unterschiedliche Formulare eingeführt werden.</w:t>
      </w:r>
    </w:p>
    <w:p>
      <w:r>
        <w:t xml:space="preserve">(2) Soweit nach Absatz 1 Formulare für Anträge und Erklärungen der Parteien eingeführt sind, müssen sich die Parteien ihrer bedienen.</w:t>
      </w:r>
    </w:p>
    <w:p>
      <w:r>
        <w:t xml:space="preserve">(3) Die Landesregierungen bestimmen durch Rechtsverordnung den Zeitpunkt, in dem bei einem Amtsgericht die maschinelle Bearbeitung der Mahnverfahren eingeführt wird; sie können die Ermächtigung durch Rechtsverordnung auf die Landesjustizverwaltungen übertragen.</w:t>
      </w:r>
    </w:p>
    <w:p>
      <w:r>
        <w:rPr>
          <w:color w:val="555555"/>
          <w:sz w:val="17"/>
        </w:rPr>
        <w:t xml:space="preserve">Zitiervorschlag: § 703c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https://recht.nulegal.eu/gesetze/ZPO/703c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