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703b ZPO — Sonderregelungen für maschinelle Bearbeitung</w:t>
      </w:r>
    </w:p>
    <w:p>
      <w:r>
        <w:rPr>
          <w:color w:val="555555"/>
          <w:sz w:val="18"/>
        </w:rPr>
        <w:t xml:space="preserve">Zivilprozessordnung</w:t>
      </w:r>
    </w:p>
    <w:p>
      <w:r>
        <w:rPr>
          <w:color w:val="555555"/>
          <w:sz w:val="18"/>
        </w:rPr>
        <w:t xml:space="preserve">Stand: 10.06.2019 (konsolidierte Textfassung, kein amtliches Inkrafttretensdatum)</w:t>
      </w:r>
    </w:p>
    <w:p>
      <w:r>
        <w:t xml:space="preserve">(1) Bei maschineller Bearbeitung werden Beschlüsse, Verfügungen, Ausfertigungen und Vollstreckungsklauseln mit dem Gerichtssiegel versehen; einer Unterschrift bedarf es nicht.</w:t>
      </w:r>
    </w:p>
    <w:p>
      <w:r>
        <w:t xml:space="preserve">(2) Das Bundesministerium der Justiz und für Verbraucherschutz wird ermächtigt, durch Rechtsverordnung mit Zustimmung des Bundesrates den Verfahrensablauf zu regeln, soweit dies für eine einheitliche maschinelle Bearbeitung der Mahnverfahren erforderlich ist (Verfahrensablaufplan).</w:t>
      </w:r>
    </w:p>
    <w:p>
      <w:r>
        <w:rPr>
          <w:color w:val="555555"/>
          <w:sz w:val="17"/>
        </w:rPr>
        <w:t xml:space="preserve">Zitiervorschlag: § 703b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https://recht.nulegal.eu/gesetze/ZPO/703b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