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700 ZPO — Einspruch gegen den Vollstreckungsbescheid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Vollstreckungsbescheid steht einem für vorläufig vollstreckbar erklärten Versäumnisurteil gleich.</w:t>
      </w:r>
    </w:p>
    <w:p>
      <w:r>
        <w:t xml:space="preserve">(2) Die Streitsache gilt als mit der Zustellung des Mahnbescheids rechtshängig geworden.</w:t>
      </w:r>
    </w:p>
    <w:p>
      <w:r>
        <w:t xml:space="preserve">(3) Wird Einspruch eingelegt, so gibt das Gericht, das den Vollstreckungsbescheid erlassen hat, den Rechtsstreit von Amts wegen an das Gericht ab, das in dem Mahnbescheid gemäß § 692 Abs. 1 Nr. 1 bezeichnet worden ist, wenn die Parteien übereinstimmend die Abgabe an ein anderes Gericht verlangen, an dieses. § 696 Abs. 1 Satz 3 bis 5, Abs. 2, 5, § 697 Abs. 1, 4, § 698 gelten entsprechend. § 340 Abs. 3 ist nicht anzuwenden.</w:t>
      </w:r>
    </w:p>
    <w:p>
      <w:r>
        <w:t xml:space="preserve">(4) Bei Eingang der Anspruchsbegründung ist wie nach Eingang einer Klage weiter zu verfahren, wenn der Einspruch nicht als unzulässig verworfen wird. § 276 Abs. 1 Satz 1, 3, Abs. 2 ist nicht anzuwenden.</w:t>
      </w:r>
    </w:p>
    <w:p>
      <w:r>
        <w:t xml:space="preserve">(5) Geht die Anspruchsbegründung innerhalb der von der Geschäftsstelle gesetzten Frist nicht ein und wird der Einspruch auch nicht als unzulässig verworfen, bestimmt der Vorsitzende unverzüglich Termin; § 697 Abs. 3 Satz 2 gilt entsprechend.</w:t>
      </w:r>
    </w:p>
    <w:p>
      <w:r>
        <w:t xml:space="preserve">(6) Der Einspruch darf nach § 345 nur verworfen werden, soweit die Voraussetzungen des § 331 Abs. 1, 2 erster Halbsatz für ein Versäumnisurteil vorliegen; soweit die Voraussetzungen nicht vorliegen, wird der Vollstreckungsbescheid aufgehoben.</w:t>
      </w:r>
    </w:p>
    <w:p>
      <w:r>
        <w:rPr>
          <w:color w:val="555555"/>
          <w:sz w:val="17"/>
        </w:rPr>
        <w:t xml:space="preserve">Zitiervorschlag: § 700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https://recht.nulegal.eu/gesetze/ZPO/700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