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694 ZPO — Widerspruch gegen den Mahnbescheid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Antragsgegner kann gegen den Anspruch oder einen Teil des Anspruchs bei dem Gericht, das den Mahnbescheid erlassen hat, schriftlich Widerspruch erheben, solange der Vollstreckungsbescheid nicht verfügt ist.</w:t>
      </w:r>
    </w:p>
    <w:p>
      <w:r>
        <w:t xml:space="preserve">(2) Ein verspäteter Widerspruch wird als Einspruch behandelt. Dies ist dem Antragsgegner, der den Widerspruch erhoben hat, mitzuteilen.</w:t>
      </w:r>
    </w:p>
    <w:p>
      <w:r>
        <w:rPr>
          <w:color w:val="555555"/>
          <w:sz w:val="17"/>
        </w:rPr>
        <w:t xml:space="preserve">Zitiervorschlag: § 694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