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693 ZPO — Zustellung des Mahnbescheids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Mahnbescheid wird dem Antragsgegner zugestellt.</w:t>
      </w:r>
    </w:p>
    <w:p>
      <w:r>
        <w:t xml:space="preserve">(2) Die Geschäftsstelle setzt den Antragsteller von der Zustellung des Mahnbescheids in Kenntnis.</w:t>
      </w:r>
    </w:p>
    <w:p>
      <w:r>
        <w:rPr>
          <w:color w:val="555555"/>
          <w:sz w:val="17"/>
        </w:rPr>
        <w:t xml:space="preserve">Zitiervorschlag: § 693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https://recht.nulegal.eu/gesetze/ZPO/693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