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690 ZPO — Mahnantrag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muss auf den Erlass eines Mahnbescheids gerichtet sein und enthalten:</w:t>
      </w:r>
    </w:p>
    <w:p>
      <w:pPr>
        <w:ind w:left="420"/>
      </w:pPr>
      <w:r>
        <w:t xml:space="preserve">1. die Bezeichnung der Parteien, ihrer gesetzlichen Vertreter und der Prozessbevollmächtigten;</w:t>
      </w:r>
    </w:p>
    <w:p>
      <w:pPr>
        <w:ind w:left="420"/>
      </w:pPr>
      <w:r>
        <w:t xml:space="preserve">2. die Bezeichnung des Gerichts, bei dem der Antrag gestellt wird;</w:t>
      </w:r>
    </w:p>
    <w:p>
      <w:pPr>
        <w:ind w:left="420"/>
      </w:pPr>
      <w:r>
        <w:t xml:space="preserve">3. die Bezeichnung des Anspruchs unter bestimmter Angabe der verlangten Leistung; Haupt- und Nebenforderungen sind gesondert und einzeln zu bezeichnen, Ansprüche aus Verträgen gemäß den §§ 491 bis 508 des Bürgerlichen Gesetzbuchs, auch unter Angabe des Datums des Vertragsabschlusses und des gemäß § 492 Abs. 2 des Bürgerlichen Gesetzbuchs anzugebenden effektiven Jahreszinses;</w:t>
      </w:r>
    </w:p>
    <w:p>
      <w:pPr>
        <w:ind w:left="420"/>
      </w:pPr>
      <w:r>
        <w:t xml:space="preserve">4. die Erklärung, dass der Anspruch nicht von einer Gegenleistung abhängt oder dass die Gegenleistung erbracht ist;</w:t>
      </w:r>
    </w:p>
    <w:p>
      <w:pPr>
        <w:ind w:left="420"/>
      </w:pPr>
      <w:r>
        <w:t xml:space="preserve">5. die Bezeichnung des Gerichts, das für ein streitiges Verfahren zuständig ist.</w:t>
      </w:r>
    </w:p>
    <w:p>
      <w:r>
        <w:t xml:space="preserve">(2) Der Antrag bedarf der handschriftlichen Unterzeichnung.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690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