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605 ZPO — Beweisvorschriften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es zur Erhaltung des wechselmäßigen Anspruchs der rechtzeitigen Protesterhebung nicht bedarf, ist als Beweismittel bezüglich der Vorlegung des Wechsels der Antrag auf Parteivernehmung zulässig.</w:t>
      </w:r>
    </w:p>
    <w:p>
      <w:r>
        <w:t xml:space="preserve">(2) Zur Berücksichtigung einer Nebenforderung genügt, dass sie glaubhaft gemacht ist.</w:t>
      </w:r>
    </w:p>
    <w:p>
      <w:r>
        <w:rPr>
          <w:color w:val="555555"/>
          <w:sz w:val="17"/>
        </w:rPr>
        <w:t xml:space="preserve">Zitiervorschlag: § 605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https://recht.nulegal.eu/gesetze/ZPO/605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