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603 ZPO — Gerichtsstand</w:t>
      </w:r>
    </w:p>
    <w:p>
      <w:r>
        <w:rPr>
          <w:color w:val="555555"/>
          <w:sz w:val="18"/>
        </w:rPr>
        <w:t xml:space="preserve">Zivilprozessordnung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Wechselklagen können sowohl bei dem Gericht des Zahlungsortes als bei dem Gericht angestellt werden, bei dem der Beklagte seinen allgemeinen Gerichtsstand hat.</w:t>
      </w:r>
    </w:p>
    <w:p>
      <w:r>
        <w:t xml:space="preserve">(2) Wenn mehrere Wechselverpflichtete gemeinschaftlich verklagt werden, so ist außer dem Gericht des Zahlungsortes jedes Gericht zuständig, bei dem einer der Beklagten seinen allgemeinen Gerichtsstand hat.</w:t>
      </w:r>
    </w:p>
    <w:p>
      <w:r>
        <w:rPr>
          <w:color w:val="555555"/>
          <w:sz w:val="17"/>
        </w:rPr>
        <w:t xml:space="preserve">Zitiervorschlag: § 603 ZPO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https://recht.nulegal.eu/gesetze/ZPO/603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