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600 ZPO — Nachverfahren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dem Beklagten die Ausführung seiner Rechte vorbehalten, so bleibt der Rechtsstreit im ordentlichen Verfahren anhängig.</w:t>
      </w:r>
    </w:p>
    <w:p>
      <w:r>
        <w:t xml:space="preserve">(2) Soweit sich in diesem Verfahren ergibt, dass der Anspruch des Klägers unbegründet war, gelten die Vorschriften des § 302 Abs. 4 Satz 2 bis 4.</w:t>
      </w:r>
    </w:p>
    <w:p>
      <w:r>
        <w:t xml:space="preserve">(3) Erscheint in diesem Verfahren eine Partei nicht, so sind die Vorschriften über das Versäumnisurteil entsprechend anzuwenden.</w:t>
      </w:r>
    </w:p>
    <w:p>
      <w:r>
        <w:rPr>
          <w:color w:val="555555"/>
          <w:sz w:val="17"/>
        </w:rPr>
        <w:t xml:space="preserve">Zitiervorschlag: § 600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