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599 ZPO — Vorbehaltsurteil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Beklagten, welcher dem geltend gemachten Anspruch widersprochen hat, ist in allen Fällen, in denen er verurteilt wird, die Ausführung seiner Rechte vorzubehalten.</w:t>
      </w:r>
    </w:p>
    <w:p>
      <w:r>
        <w:t xml:space="preserve">(2) Enthält das Urteil keinen Vorbehalt, so kann die Ergänzung des Urteils nach der Vorschrift des § 321 beantragt werden.</w:t>
      </w:r>
    </w:p>
    <w:p>
      <w:r>
        <w:t xml:space="preserve">(3) Das Urteil, das unter Vorbehalt der Rechte ergeht, ist für die Rechtsmittel und die Zwangsvollstreckung als Endurteil anzusehen.</w:t>
      </w:r>
    </w:p>
    <w:p>
      <w:r>
        <w:rPr>
          <w:color w:val="555555"/>
          <w:sz w:val="17"/>
        </w:rPr>
        <w:t xml:space="preserve">Zitiervorschlag: § 599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