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595 ZPO — Keine Widerklage; Beweismittel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Widerklagen sind nicht statthaft.</w:t>
      </w:r>
    </w:p>
    <w:p>
      <w:r>
        <w:t xml:space="preserve">(2) Als Beweismittel sind bezüglich der Echtheit oder Unechtheit einer Urkunde sowie bezüglich anderer als der im § 592 erwähnten Tatsachen nur Urkunden und Antrag auf Parteivernehmung zulässig.</w:t>
      </w:r>
    </w:p>
    <w:p>
      <w:r>
        <w:t xml:space="preserve">(3) Der Urkundenbeweis kann nur durch Vorlegung der Urkunden angetreten werden.</w:t>
      </w:r>
    </w:p>
    <w:p>
      <w:r>
        <w:rPr>
          <w:color w:val="555555"/>
          <w:sz w:val="17"/>
        </w:rPr>
        <w:t xml:space="preserve">Zitiervorschlag: § 595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