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580 ZPO — Restitutionsklage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Restitutionsklage findet statt:</w:t>
      </w:r>
    </w:p>
    <w:p>
      <w:pPr>
        <w:ind w:left="420"/>
      </w:pPr>
      <w:r>
        <w:t xml:space="preserve">1. wenn der Gegner durch Beeidigung einer Aussage, auf die das Urteil gegründet ist, sich einer vorsätzlichen oder fahrlässigen Verletzung der Eidespflicht schuldig gemacht hat;</w:t>
      </w:r>
    </w:p>
    <w:p>
      <w:pPr>
        <w:ind w:left="420"/>
      </w:pPr>
      <w:r>
        <w:t xml:space="preserve">2. wenn eine Urkunde, auf die das Urteil gegründet ist, fälschlich angefertigt oder verfälscht war;</w:t>
      </w:r>
    </w:p>
    <w:p>
      <w:pPr>
        <w:ind w:left="420"/>
      </w:pPr>
      <w:r>
        <w:t xml:space="preserve">3. wenn bei einem Zeugnis oder Gutachten, auf welches das Urteil gegründet ist, der Zeuge oder Sachverständige sich einer strafbaren Verletzung der Wahrheitspflicht schuldig gemacht hat;</w:t>
      </w:r>
    </w:p>
    <w:p>
      <w:pPr>
        <w:ind w:left="420"/>
      </w:pPr>
      <w:r>
        <w:t xml:space="preserve">4. wenn das Urteil von dem Vertreter der Partei oder von dem Gegner oder dessen Vertreter durch eine in Beziehung auf den Rechtsstreit verübte Straftat erwirkt ist;</w:t>
      </w:r>
    </w:p>
    <w:p>
      <w:pPr>
        <w:ind w:left="420"/>
      </w:pPr>
      <w:r>
        <w:t xml:space="preserve">5. wenn ein Richter bei dem Urteil mitgewirkt hat, der sich in Beziehung auf den Rechtsstreit einer strafbaren Verletzung seiner Amtspflichten gegen die Partei schuldig gemacht hat;</w:t>
      </w:r>
    </w:p>
    <w:p>
      <w:pPr>
        <w:ind w:left="420"/>
      </w:pPr>
      <w:r>
        <w:t xml:space="preserve">6. wenn das Urteil eines ordentlichen Gerichts, eines früheren Sondergerichts oder eines Verwaltungsgerichts, auf welches das Urteil gegründet ist, durch ein anderes rechtskräftiges Urteil aufgehoben ist;</w:t>
      </w:r>
    </w:p>
    <w:p>
      <w:pPr>
        <w:ind w:left="420"/>
      </w:pPr>
      <w:r>
        <w:t xml:space="preserve">7. wenn die Partei</w:t>
      </w:r>
    </w:p>
    <w:p>
      <w:pPr>
        <w:ind w:left="780"/>
      </w:pPr>
      <w:r>
        <w:t xml:space="preserve">a) ein in derselben Sache erlassenes, früher rechtskräftig gewordenes Urteil oder</w:t>
      </w:r>
    </w:p>
    <w:p>
      <w:pPr>
        <w:ind w:left="780"/>
      </w:pPr>
      <w:r>
        <w:t xml:space="preserve">b) eine andere Urkunde auffindet oder zu benutzen in den Stand gesetzt wird, die eine ihr günstigere Entscheidung herbeigeführt haben würde;</w:t>
      </w:r>
    </w:p>
    <w:p>
      <w:pPr>
        <w:ind w:left="420"/>
      </w:pPr>
      <w:r>
        <w:t xml:space="preserve">8. wenn der Europäische Gerichtshof für Menschenrechte eine Verletzung der Europäischen Konvention zum Schutz der Menschenrechte und Grundfreiheiten oder ihrer Protokolle festgestellt hat und das Urteil auf dieser Verletzung beruht.</w:t>
      </w:r>
    </w:p>
    <w:p>
      <w:r>
        <w:rPr>
          <w:color w:val="555555"/>
          <w:sz w:val="17"/>
        </w:rPr>
        <w:t xml:space="preserve">Zitiervorschlag: § 580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