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578 ZPO — Arten der Wiederaufnahme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Wiederaufnahme eines durch rechtskräftiges Endurteil geschlossenen Verfahrens kann durch Nichtigkeitsklage und durch Restitutionsklage erfolgen.</w:t>
      </w:r>
    </w:p>
    <w:p>
      <w:r>
        <w:t xml:space="preserve">(2) Werden beide Klagen von derselben Partei oder von verschiedenen Parteien erhoben, so ist die Verhandlung und Entscheidung über die Restitutionsklage bis zur rechtskräftigen Entscheidung über die Nichtigkeitsklage auszusetzen.</w:t>
      </w:r>
    </w:p>
    <w:p>
      <w:r>
        <w:rPr>
          <w:color w:val="555555"/>
          <w:sz w:val="17"/>
        </w:rPr>
        <w:t xml:space="preserve">Zitiervorschlag: § 578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