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576 ZPO — Gründe der Rechtsbeschwerde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Rechtsbeschwerde kann nur darauf gestützt werden, dass die Entscheidung auf der Verletzung des Bundesrechts oder einer Vorschrift beruht, deren Geltungsbereich sich über den Bezirk eines Oberlandesgerichts hinaus erstreckt.</w:t>
      </w:r>
    </w:p>
    <w:p>
      <w:r>
        <w:t xml:space="preserve">(2) Die Rechtsbeschwerde kann nicht darauf gestützt werden, dass das Gericht des ersten Rechtszuges seine Zuständigkeit zu Unrecht angenommen oder verneint hat.</w:t>
      </w:r>
    </w:p>
    <w:p>
      <w:r>
        <w:t xml:space="preserve">(3) Die §§ 546, 547, 556 und 560 gelten entsprechend.</w:t>
      </w:r>
    </w:p>
    <w:p>
      <w:r>
        <w:rPr>
          <w:color w:val="555555"/>
          <w:sz w:val="17"/>
        </w:rPr>
        <w:t xml:space="preserve">Zitiervorschlag: § 576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