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571 ZPO — Begründung, Präklusion, Ausnahmen vom Anwaltszwang</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Beschwerde soll begründet werden.</w:t>
      </w:r>
    </w:p>
    <w:p>
      <w:r>
        <w:t xml:space="preserve">(2) Die Beschwerde kann auf neue Angriffs- und Verteidigungsmittel gestützt werden. Sie kann nicht darauf gestützt werden, dass das Gericht des ersten Rechtszuges seine Zuständigkeit zu Unrecht angenommen hat.</w:t>
      </w:r>
    </w:p>
    <w:p>
      <w:r>
        <w:t xml:space="preserve">(3) Der Vorsitzende oder das Beschwerdegericht kann für das Vorbringen von Angriffs- und Verteidigungsmitteln eine Frist setzen. Werden Angriffs- und Verteidigungsmittel nicht innerhalb der Frist vorgebracht, so sind sie nur zuzulassen, wenn nach der freien Überzeugung des Gerichts ihre Zulassung die Erledigung des Verfahrens nicht verzögern würde oder wenn die Partei die Verspätung genügend entschuldigt. Der Entschuldigungsgrund ist auf Verlangen des Gerichts glaubhaft zu machen.</w:t>
      </w:r>
    </w:p>
    <w:p>
      <w:r>
        <w:t xml:space="preserve">(4) Ordnet das Gericht eine schriftliche Erklärung an, so kann diese zu Protokoll der Geschäftsstelle abgegeben werden, wenn die Beschwerde zu Protokoll der Geschäftsstelle eingelegt werden darf (§ 569 Abs. 3).</w:t>
      </w:r>
    </w:p>
    <w:p>
      <w:r>
        <w:rPr>
          <w:color w:val="555555"/>
          <w:sz w:val="17"/>
        </w:rPr>
        <w:t xml:space="preserve">Zitiervorschlag: § 571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