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570 ZPO — Aufschiebende Wirkung; einstweilige Anordnungen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Beschwerde hat nur dann aufschiebende Wirkung, wenn sie die Festsetzung eines Ordnungs- oder Zwangsmittels zum Gegenstand hat.</w:t>
      </w:r>
    </w:p>
    <w:p>
      <w:r>
        <w:t xml:space="preserve">(2) Das Gericht oder der Vorsitzende, dessen Entscheidung angefochten wird, kann die Vollziehung der Entscheidung aussetzen.</w:t>
      </w:r>
    </w:p>
    <w:p>
      <w:r>
        <w:t xml:space="preserve">(3) Das Beschwerdegericht kann vor der Entscheidung eine einstweilige Anordnung erlassen; es kann insbesondere die Vollziehung der angefochtenen Entscheidung aussetzen.</w:t>
      </w:r>
    </w:p>
    <w:p>
      <w:r>
        <w:rPr>
          <w:color w:val="555555"/>
          <w:sz w:val="17"/>
        </w:rPr>
        <w:t xml:space="preserve">Zitiervorschlag: § 570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