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559 ZPO — Beschränkte Nachprüfung tatsächlicher Feststellungen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Beurteilung des Revisionsgerichts unterliegt nur dasjenige Parteivorbringen, das aus dem Berufungsurteil oder dem Sitzungsprotokoll ersichtlich ist. Außerdem können nur die in § 551 Abs. 3 Nr. 2 Buchstabe b erwähnten Tatsachen berücksichtigt werden.</w:t>
      </w:r>
    </w:p>
    <w:p>
      <w:r>
        <w:t xml:space="preserve">(2) Hat das Berufungsgericht festgestellt, dass eine tatsächliche Behauptung wahr oder nicht wahr sei, so ist diese Feststellung für das Revisionsgericht bindend, es sei denn, dass in Bezug auf die Feststellung ein zulässiger und begründeter Revisionsangriff erhoben ist.</w:t>
      </w:r>
    </w:p>
    <w:p>
      <w:r>
        <w:rPr>
          <w:color w:val="555555"/>
          <w:sz w:val="17"/>
        </w:rPr>
        <w:t xml:space="preserve">Zitiervorschlag: § 559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