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549 ZPO — Revisionseinlegung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Revision wird durch Einreichung der Revisionsschrift bei dem Revisionsgericht eingelegt. Die Revisionsschrift muss enthalten:</w:t>
      </w:r>
    </w:p>
    <w:p>
      <w:pPr>
        <w:ind w:left="420"/>
      </w:pPr>
      <w:r>
        <w:t xml:space="preserve">1. die Bezeichnung des Urteils, gegen das die Revision gerichtet wird;</w:t>
      </w:r>
    </w:p>
    <w:p>
      <w:pPr>
        <w:ind w:left="420"/>
      </w:pPr>
      <w:r>
        <w:t xml:space="preserve">2. die Erklärung, dass gegen dieses Urteil Revision eingelegt werde.</w:t>
      </w:r>
    </w:p>
    <w:p>
      <w:r>
        <w:t xml:space="preserve">§ 544 Absatz 8 Satz 2 bleibt unberührt.</w:t>
      </w:r>
    </w:p>
    <w:p>
      <w:r>
        <w:t xml:space="preserve">(2) Die allgemeinen Vorschriften über die vorbereitenden Schriftsätze sind auch auf die Revisionsschrift anzuwenden.</w:t>
      </w:r>
    </w:p>
    <w:p>
      <w:r>
        <w:rPr>
          <w:color w:val="555555"/>
          <w:sz w:val="17"/>
        </w:rPr>
        <w:t xml:space="preserve">Zitiervorschlag: § 549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