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542 ZPO — Statthaftigkeit der Revision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Revision findet gegen die in der Berufungsinstanz erlassenen Endurteile nach Maßgabe der folgenden Vorschriften statt.</w:t>
      </w:r>
    </w:p>
    <w:p>
      <w:r>
        <w:t xml:space="preserve">(2) Gegen Urteile, durch die über die Anordnung, Abänderung oder Aufhebung eines Arrestes oder einer einstweiligen Verfügung entschieden worden ist, findet die Revision nicht statt. Dasselbe gilt für Urteile über die vorzeitige Besitzeinweisung im Enteignungsverfahren oder im Umlegungsverfahren.</w:t>
      </w:r>
    </w:p>
    <w:p>
      <w:r>
        <w:rPr>
          <w:color w:val="555555"/>
          <w:sz w:val="17"/>
        </w:rPr>
        <w:t xml:space="preserve">Zitiervorschlag: § 542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