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536 ZPO — Parteivernehmung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Berufungsgericht darf die Vernehmung oder Beeidigung einer Partei, die im ersten Rechtszuge die Vernehmung abgelehnt oder die Aussage oder den Eid verweigert hatte, nur anordnen, wenn es der Überzeugung ist, dass die Partei zu der Ablehnung oder Weigerung genügende Gründe hatte und diese Gründe seitdem weggefallen sind.</w:t>
      </w:r>
    </w:p>
    <w:p>
      <w:r>
        <w:t xml:space="preserve">(2) War eine Partei im ersten Rechtszuge vernommen und auf ihre Aussage beeidigt, so darf das Berufungsgericht die eidliche Vernehmung des Gegners nur anordnen, wenn die Vernehmung oder Beeidigung im ersten Rechtszuge unzulässig war.</w:t>
      </w:r>
    </w:p>
    <w:p>
      <w:r>
        <w:rPr>
          <w:color w:val="555555"/>
          <w:sz w:val="17"/>
        </w:rPr>
        <w:t xml:space="preserve">Zitiervorschlag: § 536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