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533 ZPO — Klageänderung; Aufrechnungserklärung; Widerklage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Klageänderung, Aufrechnungserklärung und Widerklage sind nur zulässig, wenn</w:t>
      </w:r>
    </w:p>
    <w:p>
      <w:pPr>
        <w:ind w:left="420"/>
      </w:pPr>
      <w:r>
        <w:t xml:space="preserve">1. der Gegner einwilligt oder das Gericht dies für sachdienlich hält und</w:t>
      </w:r>
    </w:p>
    <w:p>
      <w:pPr>
        <w:ind w:left="420"/>
      </w:pPr>
      <w:r>
        <w:t xml:space="preserve">2. diese auf Tatsachen gestützt werden können, die das Berufungsgericht seiner Verhandlung und Entscheidung über die Berufung ohnehin nach § 529 zugrunde zu legen hat.</w:t>
      </w:r>
    </w:p>
    <w:p>
      <w:r>
        <w:rPr>
          <w:color w:val="555555"/>
          <w:sz w:val="17"/>
        </w:rPr>
        <w:t xml:space="preserve">Zitiervorschlag: § 533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