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523 ZPO — Terminsbestimmung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die Berufung nicht nach § 522 durch Beschluss verworfen oder zurückgewiesen, so entscheidet das Berufungsgericht über die Übertragung des Rechtsstreits auf den Einzelrichter. Sodann ist unverzüglich Termin zur mündlichen Verhandlung zu bestimmen.</w:t>
      </w:r>
    </w:p>
    <w:p>
      <w:r>
        <w:t xml:space="preserve">(2) Auf die Frist, die zwischen dem Zeitpunkt der Bekanntmachung des Termins und der mündlichen Verhandlung liegen muss, ist § 274 Abs. 3 entsprechend anzuwenden.</w:t>
      </w:r>
    </w:p>
    <w:p>
      <w:r>
        <w:rPr>
          <w:color w:val="555555"/>
          <w:sz w:val="17"/>
        </w:rPr>
        <w:t xml:space="preserve">Zitiervorschlag: § 523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https://recht.nulegal.eu/gesetze/ZPO/523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