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521 ZPO — Zustellung der Berufungsschrift und -begründung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Berufungsschrift und die Berufungsbegründung sind der Gegenpartei zuzustellen.</w:t>
      </w:r>
    </w:p>
    <w:p>
      <w:r>
        <w:t xml:space="preserve">(2) Der Vorsitzende oder das Berufungsgericht kann der Gegenpartei eine Frist zur schriftlichen Berufungserwiderung und dem Berufungskläger eine Frist zur schriftlichen Stellungnahme auf die Berufungserwiderung setzen. § 277 gilt entsprechend.</w:t>
      </w:r>
    </w:p>
    <w:p>
      <w:r>
        <w:rPr>
          <w:color w:val="555555"/>
          <w:sz w:val="17"/>
        </w:rPr>
        <w:t xml:space="preserve">Zitiervorschlag: § 521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