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516 ZPO — Zurücknahme der Berufung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Berufungskläger kann die Berufung bis zur Verkündung des Berufungsurteils zurücknehmen.</w:t>
      </w:r>
    </w:p>
    <w:p>
      <w:r>
        <w:t xml:space="preserve">(2) Die Zurücknahme ist dem Gericht gegenüber zu erklären. Sie erfolgt, wenn sie nicht bei der mündlichen Verhandlung erklärt wird, durch Einreichung eines Schriftsatzes.</w:t>
      </w:r>
    </w:p>
    <w:p>
      <w:r>
        <w:t xml:space="preserve">(3) Die Zurücknahme hat den Verlust des eingelegten Rechtsmittels und die Verpflichtung zur Folge, die durch das Rechtsmittel entstandenen Kosten zu tragen. Diese Wirkungen sind durch Beschluss auszusprechen.</w:t>
      </w:r>
    </w:p>
    <w:p>
      <w:r>
        <w:rPr>
          <w:color w:val="555555"/>
          <w:sz w:val="17"/>
        </w:rPr>
        <w:t xml:space="preserve">Zitiervorschlag: § 516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https://recht.nulegal.eu/gesetze/ZPO/516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