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511 ZPO — Statthaftigkeit der Berufung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Berufung findet gegen die im ersten Rechtszug erlassenen Endurteile der Amts- und Landgerichte statt.</w:t>
      </w:r>
    </w:p>
    <w:p>
      <w:r>
        <w:t xml:space="preserve">(2) Die Berufung ist nur zulässig, wenn</w:t>
      </w:r>
    </w:p>
    <w:p>
      <w:pPr>
        <w:ind w:left="420"/>
      </w:pPr>
      <w:r>
        <w:t xml:space="preserve">1. der Wert des Beschwerdegegenstandes 1 000 Euro übersteigt oder</w:t>
      </w:r>
    </w:p>
    <w:p>
      <w:pPr>
        <w:ind w:left="420"/>
      </w:pPr>
      <w:r>
        <w:t xml:space="preserve">2. das Gericht des ersten Rechtszuges die Berufung im Urteil zugelassen hat.</w:t>
      </w:r>
    </w:p>
    <w:p>
      <w:r>
        <w:t xml:space="preserve">(3) Der Berufungskläger hat den Wert nach Absatz 2 Nr. 1 glaubhaft zu machen; zur Versicherung an Eides statt darf er nicht zugelassen werden.</w:t>
      </w:r>
    </w:p>
    <w:p>
      <w:r>
        <w:t xml:space="preserve">(4) Das Gericht des ersten Rechtszuges lässt die Berufung zu, wenn</w:t>
      </w:r>
    </w:p>
    <w:p>
      <w:pPr>
        <w:ind w:left="420"/>
      </w:pPr>
      <w:r>
        <w:t xml:space="preserve">1. die Rechtssache grundsätzliche Bedeutung hat oder die Fortbildung des Rechts oder die Sicherung einer einheitlichen Rechtsprechung eine Entscheidung des Berufungsgerichts erfordert und</w:t>
      </w:r>
    </w:p>
    <w:p>
      <w:pPr>
        <w:ind w:left="420"/>
      </w:pPr>
      <w:r>
        <w:t xml:space="preserve">2. die Partei durch das Urteil mit nicht mehr als 1 000 Euro beschwert ist.</w:t>
      </w:r>
    </w:p>
    <w:p>
      <w:r>
        <w:t xml:space="preserve">Das Berufungsgericht ist an die Zulassung gebunden.</w:t>
      </w:r>
    </w:p>
    <w:p>
      <w:r>
        <w:rPr>
          <w:color w:val="555555"/>
          <w:sz w:val="17"/>
        </w:rPr>
        <w:t xml:space="preserve">Zitiervorschlag: § 511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