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497 ZPO — Ladungen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Ladung des Klägers zu dem auf die Klage bestimmten Termin ist, sofern nicht das Gericht die Zustellung anordnet, ohne besondere Form mitzuteilen. § 270 Satz 2 gilt entsprechend.</w:t>
      </w:r>
    </w:p>
    <w:p>
      <w:r>
        <w:t xml:space="preserve">(2) Die Ladung einer Partei ist nicht erforderlich, wenn der Termin der Partei bei Einreichung oder Anbringung der Klage oder des Antrages, auf Grund dessen die Terminsbestimmung stattfindet, mitgeteilt worden ist. Die Mitteilung ist zu den Akten zu vermerken.</w:t>
      </w:r>
    </w:p>
    <w:p>
      <w:r>
        <w:rPr>
          <w:color w:val="555555"/>
          <w:sz w:val="17"/>
        </w:rPr>
        <w:t xml:space="preserve">Zitiervorschlag: § 497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