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494 ZPO — Unbekannter Gegner</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von dem Beweisführer ein Gegner nicht bezeichnet, so ist der Antrag nur dann zulässig, wenn der Beweisführer glaubhaft macht, dass er ohne sein Verschulden außerstande sei, den Gegner zu bezeichnen.</w:t>
      </w:r>
    </w:p>
    <w:p>
      <w:r>
        <w:t xml:space="preserve">(2) Wird dem Antrag stattgegeben, so kann das Gericht dem unbekannten Gegner zur Wahrnehmung seiner Rechte bei der Beweisaufnahme einen Vertreter bestellen.</w:t>
      </w:r>
    </w:p>
    <w:p>
      <w:r>
        <w:rPr>
          <w:color w:val="555555"/>
          <w:sz w:val="17"/>
        </w:rPr>
        <w:t xml:space="preserve">Zitiervorschlag: § 494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